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709C" w14:textId="77777777" w:rsidR="007A3248" w:rsidRPr="007A3248" w:rsidRDefault="007A3248" w:rsidP="007A3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val="x-none"/>
        </w:rPr>
      </w:pPr>
      <w:r w:rsidRPr="007A3248">
        <w:rPr>
          <w:rFonts w:ascii="Times New Roman" w:eastAsia="Times New Roman" w:hAnsi="Times New Roman"/>
          <w:b/>
          <w:caps/>
          <w:color w:val="000000"/>
          <w:sz w:val="28"/>
          <w:szCs w:val="28"/>
          <w:lang w:val="x-none"/>
        </w:rPr>
        <w:t>ОБЗОР РЕШЕНИЙ ДЛЯ ВЕРИФИКАЦИИ УПРАВЛЯЮЩИХ ПРОГРАММ</w:t>
      </w:r>
    </w:p>
    <w:p w14:paraId="6531EDBB" w14:textId="77777777" w:rsidR="007A3248" w:rsidRPr="007A3248" w:rsidRDefault="007A3248" w:rsidP="007A3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val="x-none"/>
        </w:rPr>
      </w:pPr>
    </w:p>
    <w:p w14:paraId="477A0FB3" w14:textId="77777777" w:rsidR="007A3248" w:rsidRPr="007A3248" w:rsidRDefault="007A3248" w:rsidP="007A32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A3248">
        <w:rPr>
          <w:rFonts w:ascii="Times New Roman" w:eastAsia="Times New Roman" w:hAnsi="Times New Roman"/>
          <w:b/>
          <w:sz w:val="28"/>
          <w:szCs w:val="28"/>
        </w:rPr>
        <w:t>Сорокин П.Н., Петров А.И.</w:t>
      </w:r>
    </w:p>
    <w:p w14:paraId="30B92E07" w14:textId="77777777" w:rsidR="007A3248" w:rsidRPr="007A3248" w:rsidRDefault="007A3248" w:rsidP="007A324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t xml:space="preserve">Оренбургский государственный университет имени В.А. Бондаренко, </w:t>
      </w:r>
      <w:r w:rsidRPr="007A3248">
        <w:rPr>
          <w:rFonts w:ascii="Times New Roman" w:eastAsia="Times New Roman" w:hAnsi="Times New Roman"/>
          <w:sz w:val="28"/>
          <w:szCs w:val="28"/>
        </w:rPr>
        <w:br/>
        <w:t>г. Оренбург</w:t>
      </w:r>
    </w:p>
    <w:p w14:paraId="4B27A0E1" w14:textId="77777777" w:rsidR="007A3248" w:rsidRPr="007A3248" w:rsidRDefault="007A3248" w:rsidP="007A324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A53A583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7A3248">
        <w:rPr>
          <w:rFonts w:ascii="Times New Roman" w:eastAsia="Times New Roman" w:hAnsi="Times New Roman"/>
          <w:bCs/>
          <w:iCs/>
          <w:sz w:val="28"/>
          <w:szCs w:val="28"/>
        </w:rPr>
        <w:t xml:space="preserve">Одним из самых известных решений для верификации УП является </w:t>
      </w:r>
      <w:proofErr w:type="spellStart"/>
      <w:r w:rsidRPr="007A3248">
        <w:rPr>
          <w:rFonts w:ascii="Times New Roman" w:eastAsia="Times New Roman" w:hAnsi="Times New Roman"/>
          <w:bCs/>
          <w:iCs/>
          <w:sz w:val="28"/>
          <w:szCs w:val="28"/>
        </w:rPr>
        <w:t>Vericut</w:t>
      </w:r>
      <w:proofErr w:type="spellEnd"/>
      <w:r w:rsidRPr="007A3248">
        <w:rPr>
          <w:rFonts w:ascii="Times New Roman" w:eastAsia="Times New Roman" w:hAnsi="Times New Roman"/>
          <w:bCs/>
          <w:iCs/>
          <w:sz w:val="28"/>
          <w:szCs w:val="28"/>
        </w:rPr>
        <w:t xml:space="preserve"> – модульная система, разработанная в 1988 году, компанией </w:t>
      </w:r>
      <w:proofErr w:type="spellStart"/>
      <w:r w:rsidRPr="007A3248">
        <w:rPr>
          <w:rFonts w:ascii="Times New Roman" w:eastAsia="Times New Roman" w:hAnsi="Times New Roman"/>
          <w:bCs/>
          <w:iCs/>
          <w:sz w:val="28"/>
          <w:szCs w:val="28"/>
        </w:rPr>
        <w:t>CGTech</w:t>
      </w:r>
      <w:proofErr w:type="spellEnd"/>
      <w:r w:rsidRPr="007A3248">
        <w:rPr>
          <w:rFonts w:ascii="Times New Roman" w:eastAsia="Times New Roman" w:hAnsi="Times New Roman"/>
          <w:bCs/>
          <w:iCs/>
          <w:sz w:val="28"/>
          <w:szCs w:val="28"/>
        </w:rPr>
        <w:t xml:space="preserve"> [1]. Основным предназначением данной системы является выполнение имитации, верификации и оптимизации обработки на станках с ЧПУ, с целью обнаружения ошибок в траектории режущего инструмента и неэффективных подходов.</w:t>
      </w:r>
    </w:p>
    <w:p w14:paraId="06018143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t>…</w:t>
      </w:r>
    </w:p>
    <w:p w14:paraId="02C8A5AF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t xml:space="preserve">В работах [2 – 4] отражено развитие математической теории в области улучшения и сегментации графической информации. </w:t>
      </w:r>
    </w:p>
    <w:p w14:paraId="6688E2D8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t>…</w:t>
      </w:r>
    </w:p>
    <w:p w14:paraId="2C73621F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7A3248">
        <w:rPr>
          <w:rFonts w:ascii="Times New Roman" w:eastAsia="Times New Roman" w:hAnsi="Times New Roman"/>
          <w:spacing w:val="2"/>
          <w:sz w:val="28"/>
          <w:szCs w:val="28"/>
        </w:rPr>
        <w:t xml:space="preserve">Рассмотрим производственный процесс, состоящий из </w:t>
      </w:r>
      <w:r w:rsidRPr="007A3248">
        <w:rPr>
          <w:rFonts w:ascii="Times New Roman" w:eastAsia="Times New Roman" w:hAnsi="Times New Roman"/>
          <w:i/>
          <w:spacing w:val="2"/>
          <w:sz w:val="28"/>
          <w:szCs w:val="28"/>
          <w:lang w:val="en-US"/>
        </w:rPr>
        <w:t>N</w:t>
      </w:r>
      <w:r w:rsidRPr="007A3248">
        <w:rPr>
          <w:rFonts w:ascii="Times New Roman" w:eastAsia="Times New Roman" w:hAnsi="Times New Roman"/>
          <w:spacing w:val="2"/>
          <w:sz w:val="28"/>
          <w:szCs w:val="28"/>
        </w:rPr>
        <w:t xml:space="preserve"> стадий, общая схема которого приведена на рисунке 1. </w:t>
      </w:r>
    </w:p>
    <w:p w14:paraId="61880E16" w14:textId="77777777" w:rsidR="007A3248" w:rsidRPr="007A3248" w:rsidRDefault="007A3248" w:rsidP="007A3248">
      <w:pPr>
        <w:spacing w:after="0" w:line="240" w:lineRule="auto"/>
        <w:ind w:firstLine="53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</w:p>
    <w:p w14:paraId="3B913F21" w14:textId="77777777" w:rsidR="007A3248" w:rsidRPr="007A3248" w:rsidRDefault="007A3248" w:rsidP="007A324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w:r w:rsidRPr="007A3248">
        <w:rPr>
          <w:rFonts w:ascii="Times New Roman" w:eastAsia="Times New Roman" w:hAnsi="Times New Roman"/>
          <w:sz w:val="28"/>
          <w:szCs w:val="20"/>
        </w:rPr>
        <w:object w:dxaOrig="10018" w:dyaOrig="2570" w14:anchorId="56F069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81.5pt;height:123.75pt" o:ole="">
            <v:imagedata r:id="rId7" o:title=""/>
          </v:shape>
          <o:OLEObject Type="Embed" ProgID="Visio.Drawing.11" ShapeID="_x0000_i1031" DrawAspect="Content" ObjectID="_1852704772" r:id="rId8"/>
        </w:object>
      </w:r>
    </w:p>
    <w:p w14:paraId="4E2FA65C" w14:textId="77777777" w:rsidR="007A3248" w:rsidRPr="007A3248" w:rsidRDefault="007A3248" w:rsidP="007A3248">
      <w:pPr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</w:rPr>
      </w:pPr>
    </w:p>
    <w:p w14:paraId="150DFB4E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7A3248">
        <w:rPr>
          <w:rFonts w:ascii="Times New Roman" w:eastAsia="Times New Roman" w:hAnsi="Times New Roman"/>
          <w:spacing w:val="2"/>
          <w:sz w:val="28"/>
          <w:szCs w:val="28"/>
        </w:rPr>
        <w:t>Рисунок 1 – Схема многостадийного производства с комплексной системой интеллектуальной поддержки управления</w:t>
      </w:r>
    </w:p>
    <w:p w14:paraId="546E97AE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</w:p>
    <w:p w14:paraId="31BDDED4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7A3248">
        <w:rPr>
          <w:rFonts w:ascii="Times New Roman" w:eastAsia="Times New Roman" w:hAnsi="Times New Roman"/>
          <w:spacing w:val="2"/>
          <w:sz w:val="28"/>
          <w:szCs w:val="28"/>
        </w:rPr>
        <w:t>…</w:t>
      </w:r>
    </w:p>
    <w:p w14:paraId="5C1A4514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7A3248">
        <w:rPr>
          <w:rFonts w:ascii="Times New Roman" w:eastAsia="Times New Roman" w:hAnsi="Times New Roman"/>
          <w:spacing w:val="2"/>
          <w:sz w:val="28"/>
          <w:szCs w:val="28"/>
        </w:rPr>
        <w:t>Для схемы, приведённой на рисунке 2, все координаты векторов входных и выходных параметров приобретают конкретный физический и техно</w:t>
      </w:r>
      <w:r w:rsidRPr="007A3248">
        <w:rPr>
          <w:rFonts w:ascii="Times New Roman" w:eastAsia="Times New Roman" w:hAnsi="Times New Roman"/>
          <w:spacing w:val="2"/>
          <w:sz w:val="28"/>
          <w:szCs w:val="28"/>
        </w:rPr>
        <w:softHyphen/>
        <w:t>ло</w:t>
      </w:r>
      <w:r w:rsidRPr="007A3248">
        <w:rPr>
          <w:rFonts w:ascii="Times New Roman" w:eastAsia="Times New Roman" w:hAnsi="Times New Roman"/>
          <w:spacing w:val="2"/>
          <w:sz w:val="28"/>
          <w:szCs w:val="28"/>
        </w:rPr>
        <w:softHyphen/>
        <w:t>ги</w:t>
      </w:r>
      <w:r w:rsidRPr="007A3248">
        <w:rPr>
          <w:rFonts w:ascii="Times New Roman" w:eastAsia="Times New Roman" w:hAnsi="Times New Roman"/>
          <w:spacing w:val="2"/>
          <w:sz w:val="28"/>
          <w:szCs w:val="28"/>
        </w:rPr>
        <w:softHyphen/>
        <w:t>чес</w:t>
      </w:r>
      <w:r w:rsidRPr="007A3248">
        <w:rPr>
          <w:rFonts w:ascii="Times New Roman" w:eastAsia="Times New Roman" w:hAnsi="Times New Roman"/>
          <w:spacing w:val="2"/>
          <w:sz w:val="28"/>
          <w:szCs w:val="28"/>
        </w:rPr>
        <w:softHyphen/>
        <w:t>кий смысл, приведённый в таблице 1.</w:t>
      </w:r>
    </w:p>
    <w:p w14:paraId="76D8F6D7" w14:textId="77777777" w:rsidR="007A3248" w:rsidRPr="007A3248" w:rsidRDefault="007A3248" w:rsidP="007A3248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</w:p>
    <w:p w14:paraId="7C82897E" w14:textId="77777777" w:rsidR="007A3248" w:rsidRPr="007A3248" w:rsidRDefault="007A3248" w:rsidP="007A3248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7A3248">
        <w:rPr>
          <w:rFonts w:ascii="Times New Roman" w:eastAsia="Times New Roman" w:hAnsi="Times New Roman"/>
          <w:spacing w:val="2"/>
          <w:sz w:val="28"/>
          <w:szCs w:val="28"/>
        </w:rPr>
        <w:t xml:space="preserve">Таблица 1 – Состав основных векторов заданий для стадий производства </w:t>
      </w:r>
      <w:r w:rsidRPr="007A3248">
        <w:rPr>
          <w:rFonts w:ascii="Times New Roman" w:eastAsia="Times New Roman" w:hAnsi="Times New Roman"/>
          <w:spacing w:val="2"/>
          <w:sz w:val="28"/>
          <w:szCs w:val="28"/>
        </w:rPr>
        <w:br/>
      </w:r>
      <w:proofErr w:type="gramStart"/>
      <w:r w:rsidRPr="007A3248">
        <w:rPr>
          <w:rFonts w:ascii="Times New Roman" w:eastAsia="Times New Roman" w:hAnsi="Times New Roman"/>
          <w:spacing w:val="2"/>
          <w:sz w:val="28"/>
          <w:szCs w:val="28"/>
        </w:rPr>
        <w:t>непрерывно-литых</w:t>
      </w:r>
      <w:proofErr w:type="gramEnd"/>
      <w:r w:rsidRPr="007A3248">
        <w:rPr>
          <w:rFonts w:ascii="Times New Roman" w:eastAsia="Times New Roman" w:hAnsi="Times New Roman"/>
          <w:spacing w:val="2"/>
          <w:sz w:val="28"/>
          <w:szCs w:val="28"/>
        </w:rPr>
        <w:t xml:space="preserve"> заготовок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6627"/>
      </w:tblGrid>
      <w:tr w:rsidR="007A3248" w:rsidRPr="007A3248" w14:paraId="498362EB" w14:textId="77777777" w:rsidTr="00C463F7">
        <w:trPr>
          <w:tblHeader/>
        </w:trPr>
        <w:tc>
          <w:tcPr>
            <w:tcW w:w="1418" w:type="dxa"/>
            <w:vAlign w:val="center"/>
          </w:tcPr>
          <w:p w14:paraId="36E19C7D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Вектор задания</w:t>
            </w:r>
          </w:p>
        </w:tc>
        <w:tc>
          <w:tcPr>
            <w:tcW w:w="1701" w:type="dxa"/>
            <w:vAlign w:val="center"/>
          </w:tcPr>
          <w:p w14:paraId="083D28AD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Координаты</w:t>
            </w:r>
          </w:p>
          <w:p w14:paraId="2D4E3058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вектора</w:t>
            </w:r>
          </w:p>
        </w:tc>
        <w:tc>
          <w:tcPr>
            <w:tcW w:w="6627" w:type="dxa"/>
            <w:vAlign w:val="center"/>
          </w:tcPr>
          <w:p w14:paraId="2BA15BFD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Физический или технологический</w:t>
            </w:r>
          </w:p>
          <w:p w14:paraId="6852BF57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смысл координаты</w:t>
            </w:r>
          </w:p>
        </w:tc>
      </w:tr>
      <w:tr w:rsidR="007A3248" w:rsidRPr="007A3248" w14:paraId="03D85FFE" w14:textId="77777777" w:rsidTr="00C463F7">
        <w:tc>
          <w:tcPr>
            <w:tcW w:w="1418" w:type="dxa"/>
          </w:tcPr>
          <w:p w14:paraId="5076A3F1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  <w:t>{</w:t>
            </w:r>
            <w:r w:rsidRPr="007A3248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val="en-US"/>
              </w:rPr>
              <w:t>Z</w:t>
            </w: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  <w:vertAlign w:val="subscript"/>
                <w:lang w:val="en-US"/>
              </w:rPr>
              <w:t>1</w:t>
            </w: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  <w:t>}</w:t>
            </w:r>
          </w:p>
        </w:tc>
        <w:tc>
          <w:tcPr>
            <w:tcW w:w="1701" w:type="dxa"/>
          </w:tcPr>
          <w:p w14:paraId="727C34D5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val="en-US"/>
              </w:rPr>
            </w:pPr>
            <w:r w:rsidRPr="007A3248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d</w:t>
            </w:r>
          </w:p>
        </w:tc>
        <w:tc>
          <w:tcPr>
            <w:tcW w:w="6627" w:type="dxa"/>
          </w:tcPr>
          <w:p w14:paraId="2203B8E1" w14:textId="77777777" w:rsidR="007A3248" w:rsidRPr="007A3248" w:rsidRDefault="007A3248" w:rsidP="007A324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соотношение шихтовых материалов (лом/чугун), % </w:t>
            </w:r>
          </w:p>
        </w:tc>
      </w:tr>
      <w:tr w:rsidR="007A3248" w:rsidRPr="007A3248" w14:paraId="62915D4B" w14:textId="77777777" w:rsidTr="00C463F7">
        <w:tc>
          <w:tcPr>
            <w:tcW w:w="1418" w:type="dxa"/>
          </w:tcPr>
          <w:p w14:paraId="1EE734FE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E8C413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  <w:t>{</w:t>
            </w:r>
            <w:r w:rsidRPr="007A3248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val="en-US"/>
              </w:rPr>
              <w:t>c</w:t>
            </w:r>
            <w:r w:rsidRPr="007A3248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vertAlign w:val="subscript"/>
                <w:lang w:val="en-US"/>
              </w:rPr>
              <w:t>i</w:t>
            </w: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/>
              </w:rPr>
              <w:t>}</w:t>
            </w:r>
          </w:p>
        </w:tc>
        <w:tc>
          <w:tcPr>
            <w:tcW w:w="6627" w:type="dxa"/>
          </w:tcPr>
          <w:p w14:paraId="4AB6D189" w14:textId="77777777" w:rsidR="007A3248" w:rsidRPr="007A3248" w:rsidRDefault="007A3248" w:rsidP="007A324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процентное содержание химических элементов на выпуске стали из ДСП, %</w:t>
            </w:r>
          </w:p>
        </w:tc>
      </w:tr>
      <w:tr w:rsidR="007A3248" w:rsidRPr="007A3248" w14:paraId="643E0440" w14:textId="77777777" w:rsidTr="00C463F7">
        <w:tc>
          <w:tcPr>
            <w:tcW w:w="1418" w:type="dxa"/>
          </w:tcPr>
          <w:p w14:paraId="7DB4EEFE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4183EE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vertAlign w:val="subscript"/>
                <w:lang w:val="en-US"/>
              </w:rPr>
            </w:pPr>
            <w:r w:rsidRPr="007A3248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t</w:t>
            </w:r>
            <w:r w:rsidRPr="007A3248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6627" w:type="dxa"/>
          </w:tcPr>
          <w:p w14:paraId="696F0C76" w14:textId="77777777" w:rsidR="007A3248" w:rsidRPr="007A3248" w:rsidRDefault="007A3248" w:rsidP="007A324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время дуги под током, мин</w:t>
            </w:r>
          </w:p>
        </w:tc>
      </w:tr>
      <w:tr w:rsidR="007A3248" w:rsidRPr="007A3248" w14:paraId="2D8307D1" w14:textId="77777777" w:rsidTr="00C463F7">
        <w:tc>
          <w:tcPr>
            <w:tcW w:w="1418" w:type="dxa"/>
          </w:tcPr>
          <w:p w14:paraId="3A35EEFB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A3248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…</w:t>
            </w:r>
          </w:p>
        </w:tc>
        <w:tc>
          <w:tcPr>
            <w:tcW w:w="1701" w:type="dxa"/>
          </w:tcPr>
          <w:p w14:paraId="421DE3F5" w14:textId="77777777" w:rsidR="007A3248" w:rsidRPr="007A3248" w:rsidRDefault="007A3248" w:rsidP="007A32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</w:pPr>
          </w:p>
        </w:tc>
        <w:tc>
          <w:tcPr>
            <w:tcW w:w="6627" w:type="dxa"/>
          </w:tcPr>
          <w:p w14:paraId="0FBF0081" w14:textId="77777777" w:rsidR="007A3248" w:rsidRPr="007A3248" w:rsidRDefault="007A3248" w:rsidP="007A324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</w:p>
        </w:tc>
      </w:tr>
    </w:tbl>
    <w:p w14:paraId="16CFA42F" w14:textId="77777777" w:rsidR="007A3248" w:rsidRPr="007A3248" w:rsidRDefault="007A3248" w:rsidP="007A32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6DA6EF3" w14:textId="77777777" w:rsidR="007A3248" w:rsidRPr="007A3248" w:rsidRDefault="007A3248" w:rsidP="007A32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lastRenderedPageBreak/>
        <w:t xml:space="preserve">… </w:t>
      </w:r>
    </w:p>
    <w:p w14:paraId="74DF2BE1" w14:textId="77777777" w:rsidR="007A3248" w:rsidRPr="007A3248" w:rsidRDefault="007A3248" w:rsidP="007A32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t>Таким образом, при наличии современных методов принятия решений необходимо развитие существующих систем управления производством в направлении их интеллектуализации. Использование системы интеллектуальной поддержки управления многостадийными металлургическими процессами позволяет вести многофакторный анализ процесса. При этом анализе используются как известные детерминированные и статистические методы моделирования процессов, так и унифицированный способ принятия решений, базирующийся на «живых» знаниях экспертов.</w:t>
      </w:r>
    </w:p>
    <w:p w14:paraId="30A33B25" w14:textId="77777777" w:rsidR="007A3248" w:rsidRPr="007A3248" w:rsidRDefault="007A3248" w:rsidP="007A32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120BD35" w14:textId="77777777" w:rsidR="007A3248" w:rsidRPr="007A3248" w:rsidRDefault="007A3248" w:rsidP="007A32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pacing w:val="2"/>
          <w:sz w:val="28"/>
          <w:szCs w:val="28"/>
        </w:rPr>
      </w:pPr>
      <w:r w:rsidRPr="007A3248">
        <w:rPr>
          <w:rFonts w:ascii="Times New Roman" w:eastAsia="Times New Roman" w:hAnsi="Times New Roman"/>
          <w:b/>
          <w:color w:val="222222"/>
          <w:sz w:val="28"/>
          <w:szCs w:val="20"/>
          <w:shd w:val="clear" w:color="auto" w:fill="FFFFFF"/>
        </w:rPr>
        <w:t>Список использованных источников</w:t>
      </w:r>
    </w:p>
    <w:p w14:paraId="600747A9" w14:textId="77777777" w:rsidR="007A3248" w:rsidRPr="007A3248" w:rsidRDefault="007A3248" w:rsidP="007A32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254FB16" w14:textId="77777777" w:rsidR="007A3248" w:rsidRPr="007A3248" w:rsidRDefault="007A3248" w:rsidP="007A3248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</w:pPr>
      <w:r w:rsidRPr="007A3248">
        <w:rPr>
          <w:rFonts w:ascii="Times New Roman" w:eastAsia="Times New Roman" w:hAnsi="Times New Roman"/>
          <w:sz w:val="28"/>
          <w:szCs w:val="28"/>
        </w:rPr>
        <w:t xml:space="preserve">1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Беккер, В. Ф. Технические средства автоматизации. Интерфейсные устройства и микро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softHyphen/>
        <w:t xml:space="preserve">процессорные средства: учеб. пособие </w:t>
      </w:r>
      <w:proofErr w:type="gramStart"/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/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en-US"/>
        </w:rPr>
        <w:t> 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В.</w:t>
      </w:r>
      <w:proofErr w:type="gramEnd"/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 Ф. Беккер. – М.: РИОР: ИНФРА-М, 2023. – 2-е изд.  –   152 с. –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en-US"/>
        </w:rPr>
        <w:t>ISBN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 978-5-369-01198-0. – Текст непосредственный. </w:t>
      </w:r>
      <w:r w:rsidRPr="007A3248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>(пример оформления книги с одним автором)</w:t>
      </w:r>
    </w:p>
    <w:p w14:paraId="61312E04" w14:textId="77777777" w:rsidR="007A3248" w:rsidRPr="007A3248" w:rsidRDefault="007A3248" w:rsidP="007A3248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2 </w:t>
      </w:r>
      <w:r w:rsidRPr="007A3248">
        <w:rPr>
          <w:rFonts w:ascii="Times New Roman" w:eastAsia="Times New Roman" w:hAnsi="Times New Roman"/>
          <w:sz w:val="28"/>
          <w:szCs w:val="28"/>
        </w:rPr>
        <w:t xml:space="preserve">Грекул, В. И. Проектирование информационных систем : учебное пособие / В. И. Грекул, Г. Н. </w:t>
      </w:r>
      <w:proofErr w:type="spellStart"/>
      <w:r w:rsidRPr="007A3248">
        <w:rPr>
          <w:rFonts w:ascii="Times New Roman" w:eastAsia="Times New Roman" w:hAnsi="Times New Roman"/>
          <w:sz w:val="28"/>
          <w:szCs w:val="28"/>
        </w:rPr>
        <w:t>Денищенко</w:t>
      </w:r>
      <w:proofErr w:type="spellEnd"/>
      <w:r w:rsidRPr="007A3248">
        <w:rPr>
          <w:rFonts w:ascii="Times New Roman" w:eastAsia="Times New Roman" w:hAnsi="Times New Roman"/>
          <w:sz w:val="28"/>
          <w:szCs w:val="28"/>
        </w:rPr>
        <w:t xml:space="preserve">, Н. Л. Коровкина. – М. : Интернет-Ун-т </w:t>
      </w:r>
      <w:proofErr w:type="spellStart"/>
      <w:r w:rsidRPr="007A3248">
        <w:rPr>
          <w:rFonts w:ascii="Times New Roman" w:eastAsia="Times New Roman" w:hAnsi="Times New Roman"/>
          <w:sz w:val="28"/>
          <w:szCs w:val="28"/>
        </w:rPr>
        <w:t>информ</w:t>
      </w:r>
      <w:proofErr w:type="spellEnd"/>
      <w:r w:rsidRPr="007A3248">
        <w:rPr>
          <w:rFonts w:ascii="Times New Roman" w:eastAsia="Times New Roman" w:hAnsi="Times New Roman"/>
          <w:sz w:val="28"/>
          <w:szCs w:val="28"/>
        </w:rPr>
        <w:t xml:space="preserve">. технологий, 2008. – 304 с. – ISBN 978–5–94774–817–8. – </w:t>
      </w:r>
      <w:proofErr w:type="gramStart"/>
      <w:r w:rsidRPr="007A3248">
        <w:rPr>
          <w:rFonts w:ascii="Times New Roman" w:eastAsia="Times New Roman" w:hAnsi="Times New Roman"/>
          <w:sz w:val="28"/>
          <w:szCs w:val="28"/>
        </w:rPr>
        <w:t>Текст :</w:t>
      </w:r>
      <w:proofErr w:type="gramEnd"/>
      <w:r w:rsidRPr="007A3248">
        <w:rPr>
          <w:rFonts w:ascii="Times New Roman" w:eastAsia="Times New Roman" w:hAnsi="Times New Roman"/>
          <w:sz w:val="28"/>
          <w:szCs w:val="28"/>
        </w:rPr>
        <w:t xml:space="preserve"> непосредственный. (</w:t>
      </w:r>
      <w:r w:rsidRPr="007A3248">
        <w:rPr>
          <w:rFonts w:ascii="Times New Roman" w:eastAsia="Times New Roman" w:hAnsi="Times New Roman"/>
          <w:i/>
          <w:sz w:val="28"/>
          <w:szCs w:val="28"/>
        </w:rPr>
        <w:t>пример оформления книги с 2-мя или 3-мя авторами</w:t>
      </w:r>
      <w:r w:rsidRPr="007A3248">
        <w:rPr>
          <w:rFonts w:ascii="Times New Roman" w:eastAsia="Times New Roman" w:hAnsi="Times New Roman"/>
          <w:sz w:val="28"/>
          <w:szCs w:val="28"/>
        </w:rPr>
        <w:t>)</w:t>
      </w:r>
    </w:p>
    <w:p w14:paraId="36BF440B" w14:textId="77777777" w:rsidR="007A3248" w:rsidRPr="007A3248" w:rsidRDefault="007A3248" w:rsidP="007A3248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sz w:val="28"/>
          <w:szCs w:val="28"/>
        </w:rPr>
        <w:t xml:space="preserve">3 Методы спектрального анализа в задаче обнаружения аномалий информационных процессов телекоммуникационных сетей / Н. А. Соловьев и [др.].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– </w:t>
      </w:r>
      <w:r w:rsidRPr="007A3248">
        <w:rPr>
          <w:rFonts w:ascii="Times New Roman" w:eastAsia="Times New Roman" w:hAnsi="Times New Roman"/>
          <w:sz w:val="28"/>
          <w:szCs w:val="28"/>
        </w:rPr>
        <w:t xml:space="preserve">Оренбург: ОГУ, 2013.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– </w:t>
      </w:r>
      <w:r w:rsidRPr="007A3248">
        <w:rPr>
          <w:rFonts w:ascii="Times New Roman" w:eastAsia="Times New Roman" w:hAnsi="Times New Roman"/>
          <w:sz w:val="28"/>
          <w:szCs w:val="28"/>
        </w:rPr>
        <w:t xml:space="preserve">171 с.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– </w:t>
      </w:r>
      <w:r w:rsidRPr="007A3248">
        <w:rPr>
          <w:rFonts w:ascii="Times New Roman" w:eastAsia="Times New Roman" w:hAnsi="Times New Roman"/>
          <w:sz w:val="28"/>
          <w:szCs w:val="28"/>
        </w:rPr>
        <w:t>Текст непосредственный. (</w:t>
      </w:r>
      <w:r w:rsidRPr="007A3248">
        <w:rPr>
          <w:rFonts w:ascii="Times New Roman" w:eastAsia="Times New Roman" w:hAnsi="Times New Roman"/>
          <w:i/>
          <w:sz w:val="28"/>
          <w:szCs w:val="28"/>
        </w:rPr>
        <w:t>пример оформления книги с 4-мя авторами и более</w:t>
      </w:r>
      <w:r w:rsidRPr="007A3248">
        <w:rPr>
          <w:rFonts w:ascii="Times New Roman" w:eastAsia="Times New Roman" w:hAnsi="Times New Roman"/>
          <w:sz w:val="28"/>
          <w:szCs w:val="28"/>
        </w:rPr>
        <w:t>)</w:t>
      </w:r>
    </w:p>
    <w:p w14:paraId="62A225BF" w14:textId="77777777" w:rsidR="007A3248" w:rsidRPr="007A3248" w:rsidRDefault="007A3248" w:rsidP="007A32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 w:rsidRPr="007A3248">
        <w:rPr>
          <w:rFonts w:ascii="Times New Roman" w:eastAsia="Times New Roman" w:hAnsi="Times New Roman"/>
          <w:sz w:val="28"/>
          <w:szCs w:val="28"/>
        </w:rPr>
        <w:t xml:space="preserve">4 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Гуньков, С. А. Автоматизация проектирования транспортной системы предприятия / С. А. Гуньков, А. И. Сергеев.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– 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Тест: электронный // Университетский комплекс как региональный центр образования, науки и культуры : сб. материалов </w:t>
      </w:r>
      <w:proofErr w:type="spellStart"/>
      <w:r w:rsidRPr="007A3248">
        <w:rPr>
          <w:rFonts w:ascii="Times New Roman" w:eastAsia="Times New Roman" w:hAnsi="Times New Roman"/>
          <w:sz w:val="28"/>
          <w:szCs w:val="20"/>
        </w:rPr>
        <w:t>Всерос</w:t>
      </w:r>
      <w:proofErr w:type="spellEnd"/>
      <w:r w:rsidRPr="007A3248">
        <w:rPr>
          <w:rFonts w:ascii="Times New Roman" w:eastAsia="Times New Roman" w:hAnsi="Times New Roman"/>
          <w:sz w:val="28"/>
          <w:szCs w:val="20"/>
        </w:rPr>
        <w:t xml:space="preserve">. науч.-метод. конф., Оренбург, 1-3 февр. 2024 г. / Оренбург. гос. ун-т ; ред. А. В. Зайцев.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–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</w:t>
      </w:r>
      <w:proofErr w:type="gramStart"/>
      <w:r w:rsidRPr="007A3248">
        <w:rPr>
          <w:rFonts w:ascii="Times New Roman" w:eastAsia="Times New Roman" w:hAnsi="Times New Roman"/>
          <w:sz w:val="28"/>
          <w:szCs w:val="20"/>
        </w:rPr>
        <w:t>Оренбург :</w:t>
      </w:r>
      <w:proofErr w:type="gramEnd"/>
      <w:r w:rsidRPr="007A3248">
        <w:rPr>
          <w:rFonts w:ascii="Times New Roman" w:eastAsia="Times New Roman" w:hAnsi="Times New Roman"/>
          <w:sz w:val="28"/>
          <w:szCs w:val="20"/>
        </w:rPr>
        <w:t xml:space="preserve"> ОГУ, 2024.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–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С. 1830-1833.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–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</w:t>
      </w:r>
      <w:r w:rsidRPr="007A3248">
        <w:rPr>
          <w:rFonts w:ascii="Times New Roman" w:eastAsia="Times New Roman" w:hAnsi="Times New Roman"/>
          <w:sz w:val="28"/>
          <w:szCs w:val="20"/>
          <w:lang w:val="en-US"/>
        </w:rPr>
        <w:t>URL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: </w:t>
      </w:r>
      <w:hyperlink r:id="rId9" w:history="1"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https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://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conference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.</w:t>
        </w:r>
        <w:proofErr w:type="spellStart"/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osu</w:t>
        </w:r>
        <w:proofErr w:type="spellEnd"/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.</w:t>
        </w:r>
        <w:proofErr w:type="spellStart"/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ru</w:t>
        </w:r>
        <w:proofErr w:type="spellEnd"/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/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assets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/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files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/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conf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_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info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/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conf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20/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s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</w:rPr>
          <w:t>11.</w:t>
        </w:r>
        <w:r w:rsidRPr="007A3248">
          <w:rPr>
            <w:rFonts w:ascii="Times New Roman" w:eastAsia="Times New Roman" w:hAnsi="Times New Roman"/>
            <w:color w:val="0000FF"/>
            <w:sz w:val="28"/>
            <w:szCs w:val="20"/>
            <w:u w:val="single"/>
            <w:lang w:val="en-US"/>
          </w:rPr>
          <w:t>pdf</w:t>
        </w:r>
      </w:hyperlink>
      <w:r w:rsidRPr="007A3248">
        <w:rPr>
          <w:rFonts w:ascii="Times New Roman" w:eastAsia="Times New Roman" w:hAnsi="Times New Roman"/>
          <w:sz w:val="28"/>
          <w:szCs w:val="20"/>
        </w:rPr>
        <w:t xml:space="preserve"> (дата обращения: 15.09.2026). (</w:t>
      </w:r>
      <w:r w:rsidRPr="007A3248">
        <w:rPr>
          <w:rFonts w:ascii="Times New Roman" w:eastAsia="Times New Roman" w:hAnsi="Times New Roman"/>
          <w:i/>
          <w:sz w:val="28"/>
          <w:szCs w:val="20"/>
        </w:rPr>
        <w:t>пример оформления статьи из электронного сборника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) </w:t>
      </w:r>
    </w:p>
    <w:p w14:paraId="018F02BB" w14:textId="77777777" w:rsidR="007A3248" w:rsidRPr="007A3248" w:rsidRDefault="007A3248" w:rsidP="007A32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A3248">
        <w:rPr>
          <w:rFonts w:ascii="Times New Roman" w:eastAsia="Times New Roman" w:hAnsi="Times New Roman"/>
          <w:bCs/>
          <w:sz w:val="28"/>
          <w:szCs w:val="20"/>
        </w:rPr>
        <w:t>5 Акимов, С. С.</w:t>
      </w:r>
      <w:r w:rsidRPr="007A3248">
        <w:rPr>
          <w:rFonts w:ascii="Times New Roman" w:eastAsia="Times New Roman" w:hAnsi="Times New Roman"/>
          <w:b/>
          <w:bCs/>
          <w:sz w:val="28"/>
          <w:szCs w:val="20"/>
        </w:rPr>
        <w:t xml:space="preserve"> 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Метод и алгоритмы поддержки принятия решений на основе цифрового двойника биотехнической системы: специальность 2.3.1.  Системный анализ, управление и обработка информации, статистика: диссертация ... кандидата технических наук / </w:t>
      </w:r>
      <w:r w:rsidRPr="007A3248">
        <w:rPr>
          <w:rFonts w:ascii="Times New Roman" w:eastAsia="Times New Roman" w:hAnsi="Times New Roman"/>
          <w:bCs/>
          <w:sz w:val="28"/>
          <w:szCs w:val="20"/>
        </w:rPr>
        <w:t>Акимов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</w:t>
      </w:r>
      <w:r w:rsidRPr="007A3248">
        <w:rPr>
          <w:rFonts w:ascii="Times New Roman" w:eastAsia="Times New Roman" w:hAnsi="Times New Roman"/>
          <w:bCs/>
          <w:sz w:val="28"/>
          <w:szCs w:val="20"/>
        </w:rPr>
        <w:t>Сергей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</w:t>
      </w:r>
      <w:r w:rsidRPr="007A3248">
        <w:rPr>
          <w:rFonts w:ascii="Times New Roman" w:eastAsia="Times New Roman" w:hAnsi="Times New Roman"/>
          <w:bCs/>
          <w:sz w:val="28"/>
          <w:szCs w:val="20"/>
        </w:rPr>
        <w:t>Сергеевич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; Оренбургский государственный университет.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–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Оренбург, 2024.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>–</w:t>
      </w:r>
      <w:r w:rsidRPr="007A3248">
        <w:rPr>
          <w:rFonts w:ascii="Times New Roman" w:eastAsia="Times New Roman" w:hAnsi="Times New Roman"/>
          <w:sz w:val="28"/>
          <w:szCs w:val="20"/>
        </w:rPr>
        <w:t xml:space="preserve"> 134 с. </w:t>
      </w:r>
      <w:r w:rsidRPr="007A3248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</w:rPr>
        <w:t xml:space="preserve">– </w:t>
      </w:r>
      <w:r w:rsidRPr="007A3248">
        <w:rPr>
          <w:rFonts w:ascii="Times New Roman" w:eastAsia="Times New Roman" w:hAnsi="Times New Roman"/>
          <w:sz w:val="28"/>
          <w:szCs w:val="20"/>
        </w:rPr>
        <w:t>Текст непосредственный. (</w:t>
      </w:r>
      <w:r w:rsidRPr="007A3248">
        <w:rPr>
          <w:rFonts w:ascii="Times New Roman" w:eastAsia="Times New Roman" w:hAnsi="Times New Roman"/>
          <w:i/>
          <w:sz w:val="28"/>
          <w:szCs w:val="20"/>
        </w:rPr>
        <w:t>пример оформления автореферата диссертации</w:t>
      </w:r>
      <w:r w:rsidRPr="007A3248">
        <w:rPr>
          <w:rFonts w:ascii="Times New Roman" w:eastAsia="Times New Roman" w:hAnsi="Times New Roman"/>
          <w:sz w:val="28"/>
          <w:szCs w:val="20"/>
        </w:rPr>
        <w:t>)</w:t>
      </w:r>
    </w:p>
    <w:p w14:paraId="62DFD857" w14:textId="70B47B70" w:rsidR="006160F8" w:rsidRPr="007A3248" w:rsidRDefault="006160F8" w:rsidP="007A3248"/>
    <w:sectPr w:rsidR="006160F8" w:rsidRPr="007A3248" w:rsidSect="006160F8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166D" w14:textId="77777777" w:rsidR="00E871A9" w:rsidRDefault="00E871A9">
      <w:pPr>
        <w:spacing w:after="0" w:line="240" w:lineRule="auto"/>
      </w:pPr>
      <w:r>
        <w:separator/>
      </w:r>
    </w:p>
  </w:endnote>
  <w:endnote w:type="continuationSeparator" w:id="0">
    <w:p w14:paraId="1F1A21FA" w14:textId="77777777" w:rsidR="00E871A9" w:rsidRDefault="00E87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5036" w14:textId="77777777" w:rsidR="00E871A9" w:rsidRDefault="00E871A9">
      <w:pPr>
        <w:spacing w:after="0" w:line="240" w:lineRule="auto"/>
      </w:pPr>
      <w:r>
        <w:separator/>
      </w:r>
    </w:p>
  </w:footnote>
  <w:footnote w:type="continuationSeparator" w:id="0">
    <w:p w14:paraId="6DDD441B" w14:textId="77777777" w:rsidR="00E871A9" w:rsidRDefault="00E87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35B4C" w14:textId="77777777" w:rsidR="006160F8" w:rsidRDefault="006160F8">
    <w:pPr>
      <w:pStyle w:val="a3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B889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 w15:restartNumberingAfterBreak="0">
    <w:nsid w:val="76AF7C2A"/>
    <w:multiLevelType w:val="hybridMultilevel"/>
    <w:tmpl w:val="9A3202B2"/>
    <w:lvl w:ilvl="0" w:tplc="517ECB02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19967">
    <w:abstractNumId w:val="0"/>
  </w:num>
  <w:num w:numId="2" w16cid:durableId="1210534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60"/>
    <w:rsid w:val="00001538"/>
    <w:rsid w:val="0018545E"/>
    <w:rsid w:val="00302A32"/>
    <w:rsid w:val="003F1A63"/>
    <w:rsid w:val="00446BCB"/>
    <w:rsid w:val="0047039D"/>
    <w:rsid w:val="005C6102"/>
    <w:rsid w:val="006160F8"/>
    <w:rsid w:val="006D5D58"/>
    <w:rsid w:val="006E7D9A"/>
    <w:rsid w:val="007A3248"/>
    <w:rsid w:val="007C5B47"/>
    <w:rsid w:val="009B0660"/>
    <w:rsid w:val="00B868EB"/>
    <w:rsid w:val="00BC2DE1"/>
    <w:rsid w:val="00CB6C23"/>
    <w:rsid w:val="00D4656A"/>
    <w:rsid w:val="00E871A9"/>
    <w:rsid w:val="00F752CD"/>
    <w:rsid w:val="00FA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C37C"/>
  <w15:chartTrackingRefBased/>
  <w15:docId w15:val="{48C3B8BF-1D22-4F37-BDCF-A117BF31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0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160F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Visio_2003-2010_Drawing.vsd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onference.osu.ru/assets/files/conf_info/conf20/s1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ОГУ</cp:lastModifiedBy>
  <cp:revision>2</cp:revision>
  <dcterms:created xsi:type="dcterms:W3CDTF">2024-05-29T07:26:00Z</dcterms:created>
  <dcterms:modified xsi:type="dcterms:W3CDTF">2026-10-05T06:26:00Z</dcterms:modified>
</cp:coreProperties>
</file>